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国家发展改革委、财政部关于核定第三代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公众移动通信网络频率占用费收费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36"/>
          <w:szCs w:val="36"/>
          <w:bdr w:val="none" w:color="auto" w:sz="0" w:space="0"/>
          <w:shd w:val="clear" w:fill="FFFFFF"/>
        </w:rPr>
        <w:t>标准及有关问题的通知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 发改价格[2011]749号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工业和信息化部：</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你部《关于申请核定第三代公众移动通信网络频率占用费收费标准的函》（工信部财[2010]579号）收悉。经研究，现就核定第三代公众移动通信网络频率占用费收费标准及有关问题通知如下：</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一、国家无线电管理机构向第三代公众移动通信网络运营商收取的频率占用费收费标准，按附件《第三代公众移动通信网络频率占用费收费标准》规定执行。考虑到我国第三代公众移动通信业务处在起步阶段，运营企业仍需加大投入，同意上述收费标准从2011年起分四年逐步到位，即2011年按25%，2012年按50%，2013年按75%，2014年及以后按100%收取。</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二、国家无线电管理机构向使用第三代公众移动通信特殊频段的单位收取的频率占用费收费标准为：</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一）对申请临时使用或使用研究试验用频段的营利性单位，按附件《第三代公众移动通信网络频率占用费收费标准》规定标准的20%收取，其他非营利性单位按附件《第三代公众移动通信网络频率占用费收费标准》规定标准的10%收取。频率占用费计收时间按照《无线电管理收费规定》（计价费[1998]218号）规定执行，即“频率占用费自频率分配或指配之日起按年度计收。不足三个月的按四分之一年计收，超过三个月不足半年的按半年计收，超过半年不足一年的按一年计收”。</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（二）对使用范围受限频段（如只能用于室内移动通信信号覆盖等）的单位，按附件《第三代公众移动通信网络频率占用费收费标准》规定标准的30%收取。</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三、第三代公众移动通信网络频率占用费应纳入中央财政预算管理，具体使用管理办法按照财政部有关规定执行。</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四、你部应按规定到国家发展改革委办理收费许可证，并使用财政部统一印制的票据。</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五、你部要严格按照上述规定收费，不得擅自增加收费项目、扩大收费范围、提高收费标准或加收其他任何费用，并自觉接受价格、财政、审计部门的监督检查。</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六、上述规定自2011年5月1日起执行。</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附: 第三代公众移动通信网</w:t>
      </w:r>
      <w:bookmarkStart w:id="0" w:name="_GoBack"/>
      <w:bookmarkEnd w:id="0"/>
      <w:r>
        <w:rPr>
          <w:rFonts w:hint="eastAsia" w:ascii="宋体" w:hAnsi="宋体" w:eastAsia="宋体" w:cs="宋体"/>
          <w:i w:val="0"/>
          <w:caps w:val="0"/>
          <w:color w:val="333333"/>
          <w:spacing w:val="0"/>
          <w:sz w:val="27"/>
          <w:szCs w:val="27"/>
          <w:bdr w:val="none" w:color="auto" w:sz="0" w:space="0"/>
          <w:shd w:val="clear" w:fill="FFFFFF"/>
        </w:rPr>
        <w:t>络频率占用费收费标准</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财　　政　　部</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二〇一一年四月十四日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92221"/>
    <w:rsid w:val="4B09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2019-02-26T07:41:00Z</dcterms:created>
  <dc:creator>何颖红</dc:creator>
  <cp:lastModifiedBy>何颖红</cp:lastModifiedBy>
  <dcterms:modified xsi:type="dcterms:W3CDTF">2019-02-26T07:42:01Z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