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left"/>
        <w:rPr>
          <w:rStyle w:val="6"/>
          <w:rFonts w:hint="default" w:hAnsi="黑体"/>
          <w:sz w:val="32"/>
          <w:szCs w:val="32"/>
          <w:u w:val="none"/>
        </w:rPr>
      </w:pPr>
      <w:r>
        <w:rPr>
          <w:rStyle w:val="6"/>
          <w:rFonts w:hAnsi="黑体"/>
          <w:sz w:val="32"/>
          <w:szCs w:val="32"/>
          <w:u w:val="none"/>
        </w:rPr>
        <w:t xml:space="preserve">附件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2020年省级促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进经济高质量发展专项资金（支持工业互联网发展）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地市任务清单</w:t>
      </w:r>
    </w:p>
    <w:tbl>
      <w:tblPr>
        <w:tblStyle w:val="5"/>
        <w:tblW w:w="139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"/>
        <w:gridCol w:w="521"/>
        <w:gridCol w:w="1391"/>
        <w:gridCol w:w="2403"/>
        <w:gridCol w:w="1246"/>
        <w:gridCol w:w="1233"/>
        <w:gridCol w:w="2900"/>
        <w:gridCol w:w="2099"/>
        <w:gridCol w:w="1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地市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工作任务名称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任务要求/目标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任务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性质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实施方式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实施标准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广州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工业企业“上云上平台”、工业互联网标杆示范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推动一批工业企业“上云上平台”实施数字化网络化智能化升级，建设一批工业互联网标杆示范项目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符合省统一的工业互联网应用标杆示范项目遴选标准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至少培育3个工业互联网标杆示范项目，其中至少1个5G+工业互联网示范项目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服务券补助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符合省统一的“上云上平台”奖补对象、应用服务目录、标准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至少带动194个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珠海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工业企业“上云上平台”、工业互联网标杆示范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推动一批工业企业“上云上平台”实施数字化网络化智能化升级，建设一批工业互联网标杆示范项目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符合省统一的工业互联网应用标杆示范项目遴选标准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至少培育3个工业互联网标杆示范项目，其中至少1个5G+工业互联网示范项目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服务券补助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符合省统一的“上云上平台”奖补对象、应用服务目录、标准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至少带动50个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汕头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工业企业“上云上平台”、工业互联网标杆示范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推动一批工业企业“上云上平台”实施数字化网络化智能化升级，建设一批工业互联网标杆示范项目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符合省统一的工业互联网应用标杆示范项目遴选标准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至少培育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2个工业互联网标杆示范项目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服务券补助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符合省统一的“上云上平台”奖补对象、应用服务目录、标准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至少带动40个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佛山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工业企业“上云上平台”、工业互联网标杆示范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推动一批工业企业“上云上平台”实施数字化网络化智能化升级，建设一批工业互联网标杆示范项目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符合省统一的工业互联网应用标杆示范项目遴选标准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至少培育3个工业互联网标杆示范项目，其中至少1个5G+工业互联网示范项目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服务券补助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符合省统一的“上云上平台”奖补对象、应用服务目录、标准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至少带动201个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韶关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推动一批工业企业“上云上平台”实施数字化网络化智能化升级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服务券补助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符合省统一的“上云上平台”奖补对象、应用服务目录、标准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至少带动4个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河源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推动一批工业企业“上云上平台”实施数字化网络化智能化升级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服务券补助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符合省统一的“上云上平台”奖补对象、应用服务目录、标准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至少带动7个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梅州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推动一批工业企业“上云上平台”实施数字化网络化智能化升级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服务券补助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符合省统一的“上云上平台”奖补对象、应用服务目录、标准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至少带动8个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惠州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工业企业“上云上平台”、工业互联网标杆示范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推动一批工业企业“上云上平台”实施数字化网络化智能化升级，建设一批工业互联网标杆示范项目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符合省统一的工业互联网应用标杆示范项目遴选标准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至少培育2个工业互联网标杆示范项目，其中至少1个5G+工业互联网示范项目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服务券补助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符合省统一的“上云上平台”奖补对象、应用服务目录、标准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至少带动55个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汕尾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推动一批工业企业“上云上平台”实施数字化网络化智能化升级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服务券补助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符合省统一的“上云上平台”奖补对象、应用服务目录、标准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至少带动4个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东莞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工业企业“上云上平台”、工业互联网标杆示范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推动一批工业企业“上云上平台”实施数字化网络化智能化升级，建设一批工业互联网标杆示范项目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符合省统一的工业互联网应用标杆示范项目遴选标准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至少培育2个工业互联网标杆示范项目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服务券补助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符合省统一的“上云上平台”奖补对象、应用服务目录、标准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带动252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11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中山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工业企业“上云上平台”、工业互联网标杆示范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推动一批工业企业“上云上平台”实施数字化网络化智能化升级，建设一批工业互联网标杆示范项目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符合省统一的工业互联网应用标杆示范项目遴选标准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至少培育2个工业互联网标杆示范项目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服务券补助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符合省统一的“上云上平台”奖补对象、应用服务目录、标准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带动120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江门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推动一批工业企业“上云上平台”实施数字化网络化智能化升级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服务券补助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符合省统一的“上云上平台”奖补对象、应用服务目录、标准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至少带动40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个工业企业“上云上平台”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阳江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推动一批工业企业“上云上平台”实施数字化网络化智能化升级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服务券补助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符合省统一的“上云上平台”奖补对象、应用服务目录、标准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至少带动10个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14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湛江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工业企业“上云上平台”、工业互联网标杆示范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推动一批工业企业“上云上平台”实施数字化网络化智能化升级，建设一批工业互联网标杆示范项目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符合省统一的工业互联网应用标杆示范项目遴选标准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至少培育1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5G+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工业互联网标杆示范项目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服务券补助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符合省统一的“上云上平台”奖补对象、应用服务目录、标准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至少带动16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个工业企业“上云上平台”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茂名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推动一批工业企业“上云上平台”实施数字化网络化智能化升级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服务券补助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符合省统一的“上云上平台”奖补对象、应用服务目录、标准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至少培育7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个工业企业“上云上平台”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肇庆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推动一批工业企业“上云上平台”实施数字化网络化智能化升级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服务券补助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符合省统一的“上云上平台”奖补对象、应用服务目录、标准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至少带动27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个工业企业“上云上平台”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清远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推动一批工业企业“上云上平台”实施数字化网络化智能化升级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服务券补助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符合省统一的“上云上平台”奖补对象、应用服务目录、标准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至少培育27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个工业企业“上云上平台”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潮州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推动一批工业企业“上云上平台”实施数字化网络化智能化升级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服务券补助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符合省统一的“上云上平台”奖补对象、应用服务目录、标准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至少带动10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个工业企业“上云上平台”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揭阳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推动一批工业企业“上云上平台”实施数字化网络化智能化升级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服务券补助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符合省统一的“上云上平台”奖补对象、应用服务目录、标准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至少带动23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个工业企业“上云上平台”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云浮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工业企业“上云上平台”、工业互联网标杆示范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推动一批工业企业“上云上平台”实施数字化网络化智能化升级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服务券补助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符合省统一的“上云上平台”奖补对象、应用服务目录、标准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至少带动4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个工业企业“上云上平台”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建设一批工业互联网标杆示范项目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约束性任务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因素法分配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补助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符合省统一的工业互联网应用标杆示范项目遴选标准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至少培育1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个工业互联网标杆示范项目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2020年底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4"/>
        </w:rPr>
      </w:pPr>
    </w:p>
    <w:sectPr>
      <w:pgSz w:w="16838" w:h="11906" w:orient="landscape"/>
      <w:pgMar w:top="1417" w:right="1417" w:bottom="1417" w:left="1417" w:header="851" w:footer="992" w:gutter="0"/>
      <w:cols w:space="72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6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D44064F"/>
    <w:rsid w:val="003E34D1"/>
    <w:rsid w:val="00491518"/>
    <w:rsid w:val="0095390A"/>
    <w:rsid w:val="00BF5DEC"/>
    <w:rsid w:val="018B369F"/>
    <w:rsid w:val="01B2565A"/>
    <w:rsid w:val="01CA2D46"/>
    <w:rsid w:val="038B5EA5"/>
    <w:rsid w:val="059F0034"/>
    <w:rsid w:val="06AC5FA2"/>
    <w:rsid w:val="06EE3552"/>
    <w:rsid w:val="08D81436"/>
    <w:rsid w:val="0B37091B"/>
    <w:rsid w:val="0F1434B9"/>
    <w:rsid w:val="10651183"/>
    <w:rsid w:val="109168AE"/>
    <w:rsid w:val="11D83CF2"/>
    <w:rsid w:val="122E4C46"/>
    <w:rsid w:val="12FA6E63"/>
    <w:rsid w:val="137D5B25"/>
    <w:rsid w:val="173E1AC7"/>
    <w:rsid w:val="17BC1F97"/>
    <w:rsid w:val="18AF0F4F"/>
    <w:rsid w:val="1A857E50"/>
    <w:rsid w:val="1B646E5F"/>
    <w:rsid w:val="1BAA7B1C"/>
    <w:rsid w:val="1BC64FF8"/>
    <w:rsid w:val="1C3E54F0"/>
    <w:rsid w:val="1D44064F"/>
    <w:rsid w:val="1DD25452"/>
    <w:rsid w:val="1F857058"/>
    <w:rsid w:val="1F9B6A32"/>
    <w:rsid w:val="20A928D8"/>
    <w:rsid w:val="215913A9"/>
    <w:rsid w:val="21890200"/>
    <w:rsid w:val="2207060E"/>
    <w:rsid w:val="22683C1B"/>
    <w:rsid w:val="23745618"/>
    <w:rsid w:val="245E72A2"/>
    <w:rsid w:val="251879DE"/>
    <w:rsid w:val="25682931"/>
    <w:rsid w:val="25E62934"/>
    <w:rsid w:val="27624705"/>
    <w:rsid w:val="29695625"/>
    <w:rsid w:val="2A421AA8"/>
    <w:rsid w:val="2A974899"/>
    <w:rsid w:val="2C7B6BD1"/>
    <w:rsid w:val="2DF50E51"/>
    <w:rsid w:val="2E8F0ECA"/>
    <w:rsid w:val="304473D0"/>
    <w:rsid w:val="304D40D7"/>
    <w:rsid w:val="308A55C1"/>
    <w:rsid w:val="328C5E41"/>
    <w:rsid w:val="34215AD0"/>
    <w:rsid w:val="34F36C6E"/>
    <w:rsid w:val="3562025A"/>
    <w:rsid w:val="383148FE"/>
    <w:rsid w:val="38C12A39"/>
    <w:rsid w:val="39CD6CE8"/>
    <w:rsid w:val="3B9B663E"/>
    <w:rsid w:val="3CF75FAD"/>
    <w:rsid w:val="3E0765AF"/>
    <w:rsid w:val="3F2B054C"/>
    <w:rsid w:val="432114B8"/>
    <w:rsid w:val="434B64BA"/>
    <w:rsid w:val="437C55E5"/>
    <w:rsid w:val="44577B50"/>
    <w:rsid w:val="45B53004"/>
    <w:rsid w:val="4ACC5146"/>
    <w:rsid w:val="4B220B6D"/>
    <w:rsid w:val="4B227E0D"/>
    <w:rsid w:val="4C657AEA"/>
    <w:rsid w:val="4C966C5B"/>
    <w:rsid w:val="4DBF74E7"/>
    <w:rsid w:val="4EF01D2F"/>
    <w:rsid w:val="4F4720EA"/>
    <w:rsid w:val="52595862"/>
    <w:rsid w:val="54AB7AB4"/>
    <w:rsid w:val="561C0982"/>
    <w:rsid w:val="57CC4567"/>
    <w:rsid w:val="58375244"/>
    <w:rsid w:val="58772DAA"/>
    <w:rsid w:val="59174EE6"/>
    <w:rsid w:val="59F14DD9"/>
    <w:rsid w:val="5B277F72"/>
    <w:rsid w:val="5D4538DD"/>
    <w:rsid w:val="5DD53D9B"/>
    <w:rsid w:val="5E5E11F2"/>
    <w:rsid w:val="5E6E0B8B"/>
    <w:rsid w:val="5E8A7947"/>
    <w:rsid w:val="5F4278F9"/>
    <w:rsid w:val="5FA916E3"/>
    <w:rsid w:val="5FC94CDE"/>
    <w:rsid w:val="5FE059D8"/>
    <w:rsid w:val="60A51B46"/>
    <w:rsid w:val="613E57E2"/>
    <w:rsid w:val="617F36B6"/>
    <w:rsid w:val="640B0846"/>
    <w:rsid w:val="67B75E24"/>
    <w:rsid w:val="682B6663"/>
    <w:rsid w:val="694544ED"/>
    <w:rsid w:val="6B7C16B8"/>
    <w:rsid w:val="6BF641E1"/>
    <w:rsid w:val="6CD40EA7"/>
    <w:rsid w:val="6DC95C07"/>
    <w:rsid w:val="6DFE2CD4"/>
    <w:rsid w:val="6E17119C"/>
    <w:rsid w:val="6E645421"/>
    <w:rsid w:val="707D69B9"/>
    <w:rsid w:val="70D8710C"/>
    <w:rsid w:val="70EA445D"/>
    <w:rsid w:val="710C6F51"/>
    <w:rsid w:val="731B2E3E"/>
    <w:rsid w:val="759D2F40"/>
    <w:rsid w:val="76617AED"/>
    <w:rsid w:val="76AD28D5"/>
    <w:rsid w:val="76C37987"/>
    <w:rsid w:val="76DA5686"/>
    <w:rsid w:val="77864591"/>
    <w:rsid w:val="77B05676"/>
    <w:rsid w:val="78A642A2"/>
    <w:rsid w:val="792C0073"/>
    <w:rsid w:val="79A97A13"/>
    <w:rsid w:val="79B316FE"/>
    <w:rsid w:val="79C10B38"/>
    <w:rsid w:val="7A62729F"/>
    <w:rsid w:val="7BCC1E0E"/>
    <w:rsid w:val="7C3D0D95"/>
    <w:rsid w:val="7D637041"/>
    <w:rsid w:val="7FAC21B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  <w:style w:type="character" w:customStyle="1" w:styleId="7">
    <w:name w:val="font41"/>
    <w:basedOn w:val="4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9">
    <w:name w:val="font81"/>
    <w:basedOn w:val="4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页眉 Char"/>
    <w:basedOn w:val="4"/>
    <w:link w:val="3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2989</Words>
  <Characters>3118</Characters>
  <Lines>24</Lines>
  <Paragraphs>6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2018-11-19T03:41:00Z</dcterms:created>
  <dc:creator>林桂芸</dc:creator>
  <cp:lastModifiedBy>刘春帆</cp:lastModifiedBy>
  <cp:lastPrinted>2018-11-19T03:58:00Z</cp:lastPrinted>
  <dcterms:modified xsi:type="dcterms:W3CDTF">2020-01-15T07:58:59Z</dcterms:modified>
  <dc:title>  工业互联网发展  资金任务清单（广州市）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