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ind w:firstLine="0" w:firstLineChars="0"/>
        <w:outlineLvl w:val="0"/>
        <w:rPr>
          <w:rFonts w:hint="eastAsia" w:ascii="黑体" w:hAnsi="黑体" w:eastAsia="黑体"/>
          <w:bCs/>
          <w:sz w:val="32"/>
          <w:szCs w:val="32"/>
        </w:rPr>
      </w:pPr>
      <w:bookmarkStart w:id="0" w:name="_Toc43200764"/>
      <w:bookmarkStart w:id="1" w:name="_Toc41468337"/>
      <w:r>
        <w:rPr>
          <w:rFonts w:hint="eastAsia" w:ascii="黑体" w:hAnsi="黑体" w:eastAsia="黑体"/>
          <w:bCs/>
          <w:sz w:val="32"/>
          <w:szCs w:val="32"/>
        </w:rPr>
        <w:t>附件1</w:t>
      </w:r>
    </w:p>
    <w:p>
      <w:pPr>
        <w:pStyle w:val="4"/>
        <w:spacing w:line="560" w:lineRule="exact"/>
        <w:ind w:firstLine="0" w:firstLineChars="0"/>
        <w:outlineLvl w:val="0"/>
        <w:rPr>
          <w:rFonts w:ascii="黑体" w:hAnsi="黑体" w:eastAsia="黑体"/>
          <w:bCs/>
          <w:sz w:val="32"/>
          <w:szCs w:val="32"/>
        </w:rPr>
      </w:pPr>
    </w:p>
    <w:p>
      <w:pPr>
        <w:pStyle w:val="4"/>
        <w:spacing w:line="560" w:lineRule="exact"/>
        <w:ind w:firstLine="0" w:firstLineChars="0"/>
        <w:jc w:val="center"/>
        <w:outlineLvl w:val="0"/>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用户需求</w:t>
      </w:r>
      <w:bookmarkEnd w:id="0"/>
      <w:bookmarkEnd w:id="1"/>
    </w:p>
    <w:p>
      <w:pPr>
        <w:pStyle w:val="4"/>
        <w:spacing w:line="560" w:lineRule="exact"/>
        <w:ind w:firstLine="0" w:firstLineChars="0"/>
        <w:jc w:val="center"/>
        <w:outlineLvl w:val="0"/>
        <w:rPr>
          <w:rFonts w:ascii="方正小标宋简体" w:hAnsi="方正小标宋简体" w:eastAsia="方正小标宋简体" w:cs="方正小标宋简体"/>
          <w:bCs/>
          <w:sz w:val="44"/>
          <w:szCs w:val="44"/>
        </w:rPr>
      </w:pPr>
    </w:p>
    <w:p>
      <w:pPr>
        <w:pStyle w:val="5"/>
        <w:widowControl/>
        <w:spacing w:line="560" w:lineRule="exact"/>
        <w:ind w:left="560" w:firstLine="0" w:firstLineChars="0"/>
        <w:jc w:val="left"/>
        <w:outlineLvl w:val="1"/>
        <w:rPr>
          <w:rFonts w:hint="eastAsia" w:ascii="黑体" w:hAnsi="黑体" w:eastAsia="黑体"/>
          <w:bCs/>
          <w:sz w:val="32"/>
          <w:szCs w:val="32"/>
        </w:rPr>
      </w:pPr>
      <w:bookmarkStart w:id="2" w:name="_Toc43200765"/>
      <w:bookmarkStart w:id="3" w:name="_Toc41468338"/>
      <w:r>
        <w:rPr>
          <w:rFonts w:hint="eastAsia" w:ascii="黑体" w:hAnsi="黑体" w:eastAsia="黑体"/>
          <w:bCs/>
          <w:sz w:val="32"/>
          <w:szCs w:val="32"/>
        </w:rPr>
        <w:t>一、项目服务内容</w:t>
      </w:r>
      <w:bookmarkEnd w:id="2"/>
      <w:bookmarkEnd w:id="3"/>
    </w:p>
    <w:p>
      <w:pPr>
        <w:spacing w:line="560" w:lineRule="exact"/>
        <w:ind w:firstLine="640" w:firstLineChars="200"/>
        <w:rPr>
          <w:rFonts w:eastAsia="仿宋_GB2312"/>
          <w:sz w:val="32"/>
          <w:szCs w:val="32"/>
        </w:rPr>
      </w:pPr>
      <w:r>
        <w:rPr>
          <w:rFonts w:eastAsia="仿宋_GB2312"/>
          <w:sz w:val="32"/>
          <w:szCs w:val="32"/>
        </w:rPr>
        <w:t>对广东省公共应急物资生产保供平台根据商用密码建设方案要求进行安全加密工作，本项目需要进行网络和通信安全、计算和设备安全和应用和数据安</w:t>
      </w:r>
      <w:bookmarkStart w:id="6" w:name="_GoBack"/>
      <w:bookmarkEnd w:id="6"/>
      <w:r>
        <w:rPr>
          <w:rFonts w:eastAsia="仿宋_GB2312"/>
          <w:sz w:val="32"/>
          <w:szCs w:val="32"/>
        </w:rPr>
        <w:t>全等3个方面的服务工作</w:t>
      </w:r>
      <w:r>
        <w:rPr>
          <w:rFonts w:hint="eastAsia" w:eastAsia="仿宋_GB2312"/>
          <w:sz w:val="32"/>
          <w:szCs w:val="32"/>
        </w:rPr>
        <w:t>。</w:t>
      </w:r>
      <w:r>
        <w:rPr>
          <w:rFonts w:eastAsia="仿宋_GB2312"/>
          <w:sz w:val="32"/>
          <w:szCs w:val="32"/>
        </w:rPr>
        <w:t>具体服务内容</w:t>
      </w:r>
      <w:r>
        <w:rPr>
          <w:rFonts w:hint="eastAsia" w:eastAsia="仿宋_GB2312"/>
          <w:sz w:val="32"/>
          <w:szCs w:val="32"/>
        </w:rPr>
        <w:t>如</w:t>
      </w:r>
      <w:r>
        <w:rPr>
          <w:rFonts w:eastAsia="仿宋_GB2312"/>
          <w:sz w:val="32"/>
          <w:szCs w:val="32"/>
        </w:rPr>
        <w:t>下：</w:t>
      </w:r>
    </w:p>
    <w:p>
      <w:pPr>
        <w:spacing w:line="560" w:lineRule="exact"/>
        <w:ind w:firstLine="640" w:firstLineChars="200"/>
        <w:rPr>
          <w:rFonts w:eastAsia="仿宋_GB2312"/>
          <w:sz w:val="32"/>
          <w:szCs w:val="32"/>
        </w:rPr>
      </w:pPr>
      <w:r>
        <w:rPr>
          <w:rFonts w:eastAsia="仿宋_GB2312"/>
          <w:sz w:val="32"/>
          <w:szCs w:val="32"/>
        </w:rPr>
        <w:t>1.网络和通信安全。网络和通信安全主要是保障信息在传输过程中的真实性、保密性、完整性，是业务应用能正常使用的关键因素之一，需要进行通信安全保护。</w:t>
      </w:r>
    </w:p>
    <w:p>
      <w:pPr>
        <w:snapToGrid w:val="0"/>
        <w:spacing w:line="560" w:lineRule="exact"/>
        <w:ind w:firstLine="560"/>
        <w:rPr>
          <w:rFonts w:eastAsia="仿宋_GB2312"/>
          <w:sz w:val="32"/>
          <w:szCs w:val="32"/>
        </w:rPr>
      </w:pPr>
      <w:r>
        <w:rPr>
          <w:rFonts w:eastAsia="仿宋_GB2312"/>
          <w:sz w:val="32"/>
          <w:szCs w:val="32"/>
        </w:rPr>
        <w:t>2.计算和设备安全。计算和设备安全主要包括终端电脑设备和密码设备等，使用的密码产品要通过检测认证，具备相应的安全防护能力。</w:t>
      </w:r>
    </w:p>
    <w:p>
      <w:pPr>
        <w:snapToGrid w:val="0"/>
        <w:spacing w:line="560" w:lineRule="exact"/>
        <w:ind w:firstLine="560"/>
        <w:rPr>
          <w:rFonts w:eastAsia="仿宋_GB2312"/>
          <w:sz w:val="32"/>
          <w:szCs w:val="32"/>
        </w:rPr>
      </w:pPr>
      <w:r>
        <w:rPr>
          <w:rFonts w:eastAsia="仿宋_GB2312"/>
          <w:sz w:val="32"/>
          <w:szCs w:val="32"/>
        </w:rPr>
        <w:t>3.应用和数据安全。包括应用系统的身份鉴别；访问控制信息的完整性；重要数据传输及存储的机密性和完整性；日志记录完整性等问题。</w:t>
      </w:r>
    </w:p>
    <w:p>
      <w:pPr>
        <w:pStyle w:val="5"/>
        <w:widowControl/>
        <w:spacing w:line="560" w:lineRule="exact"/>
        <w:ind w:firstLine="640"/>
        <w:jc w:val="left"/>
        <w:outlineLvl w:val="1"/>
        <w:rPr>
          <w:rFonts w:ascii="黑体" w:hAnsi="黑体" w:eastAsia="黑体"/>
          <w:bCs/>
          <w:sz w:val="32"/>
          <w:szCs w:val="32"/>
        </w:rPr>
      </w:pPr>
      <w:r>
        <w:rPr>
          <w:rFonts w:hint="eastAsia" w:ascii="黑体" w:hAnsi="黑体" w:eastAsia="黑体"/>
          <w:bCs/>
          <w:sz w:val="32"/>
          <w:szCs w:val="32"/>
        </w:rPr>
        <w:t>二、</w:t>
      </w:r>
      <w:r>
        <w:rPr>
          <w:rFonts w:ascii="黑体" w:hAnsi="黑体" w:eastAsia="黑体"/>
          <w:bCs/>
          <w:sz w:val="32"/>
          <w:szCs w:val="32"/>
        </w:rPr>
        <w:t>服务人员要求</w:t>
      </w:r>
    </w:p>
    <w:p>
      <w:pPr>
        <w:spacing w:line="560" w:lineRule="exact"/>
        <w:ind w:firstLine="480"/>
        <w:rPr>
          <w:rFonts w:eastAsia="仿宋_GB2312"/>
          <w:sz w:val="32"/>
          <w:szCs w:val="32"/>
        </w:rPr>
      </w:pPr>
      <w:r>
        <w:rPr>
          <w:rFonts w:eastAsia="仿宋_GB2312"/>
          <w:sz w:val="32"/>
          <w:szCs w:val="32"/>
        </w:rPr>
        <w:t>为使项目按质、按量、按时及有序实施，投标人对本项目须有一个完善和稳定的管理组织机构，如在项目实际执行过程中发生项目经理不能按采购文件要求胜任相关工作的，采购人有权要求更换项目经理，投标人须在两周内调整为符合采购文件要求且能胜任相关工作的项目经理并到位开展工作，否则采购人有权终止合同并报相关管理部门进行处理。</w:t>
      </w:r>
    </w:p>
    <w:p>
      <w:pPr>
        <w:spacing w:line="560" w:lineRule="exact"/>
        <w:ind w:firstLine="480"/>
        <w:rPr>
          <w:rFonts w:eastAsia="仿宋_GB2312"/>
          <w:sz w:val="32"/>
          <w:szCs w:val="32"/>
        </w:rPr>
      </w:pPr>
      <w:r>
        <w:rPr>
          <w:rFonts w:eastAsia="仿宋_GB2312"/>
          <w:sz w:val="32"/>
          <w:szCs w:val="32"/>
        </w:rPr>
        <w:t>投标人的项目经理和其他主要人员未经用户同意不得调整；投标人如中途更换项目经理和其他主要人员，应征得用户同意，否则采购人有权终止合同。</w:t>
      </w:r>
    </w:p>
    <w:p>
      <w:pPr>
        <w:spacing w:line="560" w:lineRule="exact"/>
        <w:ind w:firstLine="480"/>
        <w:rPr>
          <w:rFonts w:eastAsia="仿宋_GB2312"/>
          <w:sz w:val="32"/>
          <w:szCs w:val="32"/>
        </w:rPr>
      </w:pPr>
      <w:r>
        <w:rPr>
          <w:rFonts w:eastAsia="仿宋_GB2312"/>
          <w:sz w:val="32"/>
          <w:szCs w:val="32"/>
        </w:rPr>
        <w:t>如须调整服务团队成员，须书面向采购人提出申请，说明申请理由，经采购人书面同意方可调整团队人员，调入人员的资历和从业经验不低于调出人员，否则视为违约行为，采购人有权终止服务合同。</w:t>
      </w:r>
    </w:p>
    <w:p>
      <w:pPr>
        <w:pStyle w:val="5"/>
        <w:widowControl/>
        <w:spacing w:line="560" w:lineRule="exact"/>
        <w:ind w:firstLine="640"/>
        <w:jc w:val="left"/>
        <w:outlineLvl w:val="1"/>
        <w:rPr>
          <w:rFonts w:ascii="黑体" w:hAnsi="黑体" w:eastAsia="黑体"/>
          <w:bCs/>
          <w:sz w:val="32"/>
          <w:szCs w:val="32"/>
        </w:rPr>
      </w:pPr>
      <w:r>
        <w:rPr>
          <w:rFonts w:hint="eastAsia" w:ascii="黑体" w:hAnsi="黑体" w:eastAsia="黑体"/>
          <w:bCs/>
          <w:sz w:val="32"/>
          <w:szCs w:val="32"/>
        </w:rPr>
        <w:t>三、</w:t>
      </w:r>
      <w:r>
        <w:rPr>
          <w:rFonts w:ascii="黑体" w:hAnsi="黑体" w:eastAsia="黑体"/>
          <w:bCs/>
          <w:sz w:val="32"/>
          <w:szCs w:val="32"/>
        </w:rPr>
        <w:t>文档管理要求</w:t>
      </w:r>
    </w:p>
    <w:p>
      <w:pPr>
        <w:widowControl/>
        <w:spacing w:line="560" w:lineRule="exact"/>
        <w:ind w:firstLine="646" w:firstLineChars="202"/>
        <w:jc w:val="left"/>
        <w:rPr>
          <w:rFonts w:eastAsia="仿宋_GB2312"/>
          <w:kern w:val="0"/>
          <w:sz w:val="32"/>
          <w:szCs w:val="32"/>
        </w:rPr>
      </w:pPr>
      <w:r>
        <w:rPr>
          <w:rFonts w:eastAsia="仿宋_GB2312"/>
          <w:kern w:val="0"/>
          <w:sz w:val="32"/>
          <w:szCs w:val="32"/>
        </w:rPr>
        <w:t>中标人应在项目完成时，将本项目所有成果文件汇集成册交付给采购人，所有文件要求用中文书写或有完整的中文注释。验收后，中标人按国家、省以及采购人档案管理要求，向采购人提供装订成册的纸质文档至少</w:t>
      </w:r>
      <w:r>
        <w:rPr>
          <w:rFonts w:eastAsia="仿宋_GB2312"/>
          <w:kern w:val="0"/>
          <w:sz w:val="32"/>
          <w:szCs w:val="32"/>
          <w:u w:val="single"/>
        </w:rPr>
        <w:t xml:space="preserve"> 1</w:t>
      </w:r>
      <w:r>
        <w:rPr>
          <w:rFonts w:eastAsia="仿宋_GB2312"/>
          <w:kern w:val="0"/>
          <w:sz w:val="32"/>
          <w:szCs w:val="32"/>
        </w:rPr>
        <w:t>套。</w:t>
      </w:r>
    </w:p>
    <w:p>
      <w:pPr>
        <w:pStyle w:val="5"/>
        <w:widowControl/>
        <w:spacing w:line="560" w:lineRule="exact"/>
        <w:ind w:firstLine="640"/>
        <w:jc w:val="left"/>
        <w:outlineLvl w:val="1"/>
        <w:rPr>
          <w:rFonts w:ascii="黑体" w:hAnsi="黑体" w:eastAsia="黑体"/>
          <w:bCs/>
          <w:sz w:val="32"/>
          <w:szCs w:val="32"/>
        </w:rPr>
      </w:pPr>
      <w:r>
        <w:rPr>
          <w:rFonts w:hint="eastAsia" w:ascii="黑体" w:hAnsi="黑体" w:eastAsia="黑体"/>
          <w:bCs/>
          <w:sz w:val="32"/>
          <w:szCs w:val="32"/>
        </w:rPr>
        <w:t>四、</w:t>
      </w:r>
      <w:r>
        <w:rPr>
          <w:rFonts w:ascii="黑体" w:hAnsi="黑体" w:eastAsia="黑体"/>
          <w:bCs/>
          <w:sz w:val="32"/>
          <w:szCs w:val="32"/>
        </w:rPr>
        <w:t>验收标准要求</w:t>
      </w:r>
    </w:p>
    <w:p>
      <w:pPr>
        <w:widowControl/>
        <w:spacing w:line="560" w:lineRule="exact"/>
        <w:ind w:firstLine="646" w:firstLineChars="202"/>
        <w:jc w:val="left"/>
        <w:rPr>
          <w:rFonts w:eastAsia="仿宋_GB2312"/>
          <w:kern w:val="0"/>
          <w:sz w:val="32"/>
          <w:szCs w:val="32"/>
        </w:rPr>
      </w:pPr>
      <w:r>
        <w:rPr>
          <w:rFonts w:eastAsia="仿宋_GB2312"/>
          <w:kern w:val="0"/>
          <w:sz w:val="32"/>
          <w:szCs w:val="32"/>
        </w:rPr>
        <w:t>本项目的验收应符合广东省政务信息化项目相关验收管理办法的要求，同时应遵循下列标准：</w:t>
      </w:r>
    </w:p>
    <w:p>
      <w:pPr>
        <w:widowControl/>
        <w:spacing w:line="560" w:lineRule="exact"/>
        <w:ind w:firstLine="646" w:firstLineChars="202"/>
        <w:jc w:val="left"/>
        <w:rPr>
          <w:rFonts w:eastAsia="仿宋_GB2312"/>
          <w:kern w:val="0"/>
          <w:sz w:val="32"/>
          <w:szCs w:val="32"/>
        </w:rPr>
      </w:pPr>
      <w:r>
        <w:rPr>
          <w:rFonts w:eastAsia="仿宋_GB2312"/>
          <w:kern w:val="0"/>
          <w:sz w:val="32"/>
          <w:szCs w:val="32"/>
        </w:rPr>
        <w:t>1</w:t>
      </w:r>
      <w:r>
        <w:rPr>
          <w:rFonts w:hint="eastAsia" w:eastAsia="仿宋_GB2312"/>
          <w:kern w:val="0"/>
          <w:sz w:val="32"/>
          <w:szCs w:val="32"/>
        </w:rPr>
        <w:t>.</w:t>
      </w:r>
      <w:r>
        <w:rPr>
          <w:rFonts w:eastAsia="仿宋_GB2312"/>
          <w:kern w:val="0"/>
          <w:sz w:val="32"/>
          <w:szCs w:val="32"/>
        </w:rPr>
        <w:t>实现合同和根据招标文件所编写的投标文件中列举的全部功能。</w:t>
      </w:r>
    </w:p>
    <w:p>
      <w:pPr>
        <w:widowControl/>
        <w:spacing w:line="560" w:lineRule="exact"/>
        <w:ind w:firstLine="646" w:firstLineChars="202"/>
        <w:jc w:val="left"/>
        <w:rPr>
          <w:rFonts w:eastAsia="仿宋_GB2312"/>
          <w:kern w:val="0"/>
          <w:sz w:val="32"/>
          <w:szCs w:val="32"/>
        </w:rPr>
      </w:pPr>
      <w:r>
        <w:rPr>
          <w:rFonts w:eastAsia="仿宋_GB2312"/>
          <w:kern w:val="0"/>
          <w:sz w:val="32"/>
          <w:szCs w:val="32"/>
        </w:rPr>
        <w:t>2</w:t>
      </w:r>
      <w:r>
        <w:rPr>
          <w:rFonts w:hint="eastAsia" w:eastAsia="仿宋_GB2312"/>
          <w:kern w:val="0"/>
          <w:sz w:val="32"/>
          <w:szCs w:val="32"/>
        </w:rPr>
        <w:t>.</w:t>
      </w:r>
      <w:r>
        <w:rPr>
          <w:rFonts w:eastAsia="仿宋_GB2312"/>
          <w:kern w:val="0"/>
          <w:sz w:val="32"/>
          <w:szCs w:val="32"/>
        </w:rPr>
        <w:t>提交合同和根据招标文件所编写的投标文件中列举的相关文档及广东省政务服务数据管理局项目相关验收管理办法所要求的全部文档。</w:t>
      </w:r>
    </w:p>
    <w:p>
      <w:pPr>
        <w:pStyle w:val="5"/>
        <w:widowControl/>
        <w:spacing w:line="560" w:lineRule="exact"/>
        <w:ind w:firstLine="640"/>
        <w:jc w:val="left"/>
        <w:outlineLvl w:val="1"/>
        <w:rPr>
          <w:rFonts w:ascii="黑体" w:hAnsi="黑体" w:eastAsia="黑体"/>
          <w:bCs/>
          <w:sz w:val="32"/>
          <w:szCs w:val="32"/>
        </w:rPr>
      </w:pPr>
      <w:r>
        <w:rPr>
          <w:rFonts w:hint="eastAsia" w:ascii="黑体" w:hAnsi="黑体" w:eastAsia="黑体"/>
          <w:bCs/>
          <w:sz w:val="32"/>
          <w:szCs w:val="32"/>
        </w:rPr>
        <w:t>五、</w:t>
      </w:r>
      <w:r>
        <w:rPr>
          <w:rFonts w:ascii="黑体" w:hAnsi="黑体" w:eastAsia="黑体"/>
          <w:bCs/>
          <w:sz w:val="32"/>
          <w:szCs w:val="32"/>
        </w:rPr>
        <w:t>服务响应要求</w:t>
      </w:r>
    </w:p>
    <w:p>
      <w:pPr>
        <w:spacing w:line="560" w:lineRule="exact"/>
        <w:ind w:left="210" w:firstLine="640" w:firstLineChars="200"/>
        <w:contextualSpacing/>
        <w:jc w:val="left"/>
        <w:rPr>
          <w:rFonts w:eastAsia="仿宋_GB2312"/>
          <w:sz w:val="32"/>
          <w:szCs w:val="32"/>
        </w:rPr>
      </w:pPr>
      <w:r>
        <w:rPr>
          <w:rFonts w:eastAsia="仿宋_GB2312"/>
          <w:sz w:val="32"/>
          <w:szCs w:val="32"/>
        </w:rPr>
        <w:t>服务响应可通过现场、远程等方式提供，由此产生的一切费用均由投标人承担。</w:t>
      </w:r>
    </w:p>
    <w:p>
      <w:pPr>
        <w:spacing w:line="560" w:lineRule="exact"/>
        <w:ind w:left="210" w:firstLine="640" w:firstLineChars="200"/>
        <w:contextualSpacing/>
        <w:jc w:val="left"/>
        <w:rPr>
          <w:rFonts w:eastAsia="仿宋_GB2312"/>
          <w:sz w:val="32"/>
          <w:szCs w:val="32"/>
        </w:rPr>
      </w:pPr>
      <w:r>
        <w:rPr>
          <w:rFonts w:hint="eastAsia" w:eastAsia="仿宋_GB2312"/>
          <w:sz w:val="32"/>
          <w:szCs w:val="32"/>
        </w:rPr>
        <w:t>1.</w:t>
      </w:r>
      <w:r>
        <w:rPr>
          <w:rFonts w:eastAsia="仿宋_GB2312"/>
          <w:sz w:val="32"/>
          <w:szCs w:val="32"/>
        </w:rPr>
        <w:t>服务方式包括：电话服务、远程服务和现场服务等。</w:t>
      </w:r>
    </w:p>
    <w:p>
      <w:pPr>
        <w:spacing w:line="560" w:lineRule="exact"/>
        <w:ind w:left="210" w:firstLine="640" w:firstLineChars="200"/>
        <w:contextualSpacing/>
        <w:jc w:val="left"/>
        <w:rPr>
          <w:rFonts w:eastAsia="仿宋_GB2312"/>
          <w:sz w:val="32"/>
          <w:szCs w:val="32"/>
        </w:rPr>
      </w:pPr>
      <w:r>
        <w:rPr>
          <w:rFonts w:hint="eastAsia" w:eastAsia="仿宋_GB2312"/>
          <w:sz w:val="32"/>
          <w:szCs w:val="32"/>
        </w:rPr>
        <w:t>2.</w:t>
      </w:r>
      <w:r>
        <w:rPr>
          <w:rFonts w:eastAsia="仿宋_GB2312"/>
          <w:sz w:val="32"/>
          <w:szCs w:val="32"/>
        </w:rPr>
        <w:t>系统出现安全性故障时，投标人7×24小时服务响应，出现故障时，快速受理服务请求，根据不同的故障等级在不同时间内进行响应，对于远程或电话无法解决的问题，安排技术人员现场处理，重大故障提供故障分析报告，保证市内2小时内（地市6小时内）到达现场解决重大系统故障。</w:t>
      </w:r>
    </w:p>
    <w:p>
      <w:pPr>
        <w:pStyle w:val="5"/>
        <w:widowControl/>
        <w:spacing w:line="560" w:lineRule="exact"/>
        <w:ind w:firstLine="640"/>
        <w:jc w:val="left"/>
        <w:outlineLvl w:val="1"/>
        <w:rPr>
          <w:rFonts w:ascii="黑体" w:hAnsi="黑体" w:eastAsia="黑体"/>
          <w:bCs/>
          <w:sz w:val="32"/>
          <w:szCs w:val="32"/>
        </w:rPr>
      </w:pPr>
      <w:r>
        <w:rPr>
          <w:rFonts w:hint="eastAsia" w:ascii="黑体" w:hAnsi="黑体" w:eastAsia="黑体"/>
          <w:bCs/>
          <w:sz w:val="32"/>
          <w:szCs w:val="32"/>
        </w:rPr>
        <w:t>六、</w:t>
      </w:r>
      <w:r>
        <w:rPr>
          <w:rFonts w:ascii="黑体" w:hAnsi="黑体" w:eastAsia="黑体"/>
          <w:bCs/>
          <w:sz w:val="32"/>
          <w:szCs w:val="32"/>
        </w:rPr>
        <w:t>资产权属</w:t>
      </w:r>
    </w:p>
    <w:p>
      <w:pPr>
        <w:widowControl/>
        <w:spacing w:line="560" w:lineRule="exact"/>
        <w:ind w:firstLine="646" w:firstLineChars="202"/>
        <w:jc w:val="left"/>
        <w:rPr>
          <w:rFonts w:eastAsia="仿宋_GB2312"/>
          <w:kern w:val="0"/>
          <w:sz w:val="32"/>
          <w:szCs w:val="32"/>
        </w:rPr>
      </w:pPr>
      <w:r>
        <w:rPr>
          <w:rFonts w:eastAsia="仿宋_GB2312"/>
          <w:kern w:val="0"/>
          <w:sz w:val="32"/>
          <w:szCs w:val="32"/>
        </w:rPr>
        <w:t xml:space="preserve">投标人为实施项目提供的所有资料及工作成果归采购人所有。 </w:t>
      </w:r>
    </w:p>
    <w:p>
      <w:pPr>
        <w:pStyle w:val="5"/>
        <w:widowControl/>
        <w:spacing w:line="560" w:lineRule="exact"/>
        <w:ind w:firstLine="640"/>
        <w:jc w:val="left"/>
        <w:outlineLvl w:val="1"/>
        <w:rPr>
          <w:rFonts w:ascii="黑体" w:hAnsi="黑体" w:eastAsia="黑体"/>
          <w:bCs/>
          <w:sz w:val="32"/>
          <w:szCs w:val="32"/>
        </w:rPr>
      </w:pPr>
      <w:r>
        <w:rPr>
          <w:rFonts w:hint="eastAsia" w:ascii="黑体" w:hAnsi="黑体" w:eastAsia="黑体"/>
          <w:bCs/>
          <w:sz w:val="32"/>
          <w:szCs w:val="32"/>
        </w:rPr>
        <w:t>七、</w:t>
      </w:r>
      <w:r>
        <w:rPr>
          <w:rFonts w:ascii="黑体" w:hAnsi="黑体" w:eastAsia="黑体"/>
          <w:bCs/>
          <w:sz w:val="32"/>
          <w:szCs w:val="32"/>
        </w:rPr>
        <w:t>保密要求</w:t>
      </w:r>
    </w:p>
    <w:p>
      <w:pPr>
        <w:widowControl/>
        <w:spacing w:line="560" w:lineRule="exact"/>
        <w:ind w:firstLine="646" w:firstLineChars="202"/>
        <w:jc w:val="left"/>
        <w:rPr>
          <w:rFonts w:eastAsia="仿宋_GB2312"/>
          <w:kern w:val="0"/>
          <w:sz w:val="32"/>
          <w:szCs w:val="32"/>
        </w:rPr>
      </w:pPr>
      <w:r>
        <w:rPr>
          <w:rFonts w:eastAsia="仿宋_GB2312"/>
          <w:kern w:val="0"/>
          <w:sz w:val="32"/>
          <w:szCs w:val="32"/>
        </w:rPr>
        <w:t>1</w:t>
      </w:r>
      <w:r>
        <w:rPr>
          <w:rFonts w:hint="eastAsia" w:eastAsia="仿宋_GB2312"/>
          <w:kern w:val="0"/>
          <w:sz w:val="32"/>
          <w:szCs w:val="32"/>
        </w:rPr>
        <w:t>.</w:t>
      </w:r>
      <w:r>
        <w:rPr>
          <w:rFonts w:eastAsia="仿宋_GB2312"/>
          <w:kern w:val="0"/>
          <w:sz w:val="32"/>
          <w:szCs w:val="32"/>
        </w:rPr>
        <w:t>投标人应对其因身份、职务、职业或技术关系而知悉的采购人商业秘密和党政机关保密信息应严格保守，保证不被披露或使用，包括意外或过失。</w:t>
      </w:r>
    </w:p>
    <w:p>
      <w:pPr>
        <w:widowControl/>
        <w:spacing w:line="560" w:lineRule="exact"/>
        <w:ind w:firstLine="646" w:firstLineChars="202"/>
        <w:jc w:val="left"/>
        <w:rPr>
          <w:rFonts w:eastAsia="仿宋_GB2312"/>
          <w:kern w:val="0"/>
          <w:sz w:val="32"/>
          <w:szCs w:val="32"/>
        </w:rPr>
      </w:pPr>
      <w:r>
        <w:rPr>
          <w:rFonts w:eastAsia="仿宋_GB2312"/>
          <w:kern w:val="0"/>
          <w:sz w:val="32"/>
          <w:szCs w:val="32"/>
        </w:rPr>
        <w:t>2</w:t>
      </w:r>
      <w:r>
        <w:rPr>
          <w:rFonts w:hint="eastAsia" w:eastAsia="仿宋_GB2312"/>
          <w:kern w:val="0"/>
          <w:sz w:val="32"/>
          <w:szCs w:val="32"/>
        </w:rPr>
        <w:t>.</w:t>
      </w:r>
      <w:r>
        <w:rPr>
          <w:rFonts w:eastAsia="仿宋_GB2312"/>
          <w:kern w:val="0"/>
          <w:sz w:val="32"/>
          <w:szCs w:val="32"/>
        </w:rPr>
        <w:t>投标人不得以竞争为目的、或出于私利、或为第三人谋利而擅自保存、披露、使用采购人商业秘密和党政机关保密信息；不得直接或间接地向无关人员泄露采购人的商业秘密和党政机关保密信息；不得向不承担保密义务的任何第三人披露采购人的商业秘密和党政机关保密信息。投标人在从事政府项目时，不得擅自记录、复制、拍摄、摘抄、收藏在工作中涉及的保密信息，严禁将涉及政府项目的任何资料、数据透露或以其他方式提供给项目以外的其他方或投标人内部与该项目无关的任何人员。</w:t>
      </w:r>
    </w:p>
    <w:p>
      <w:pPr>
        <w:widowControl/>
        <w:spacing w:line="560" w:lineRule="exact"/>
        <w:ind w:firstLine="646" w:firstLineChars="202"/>
        <w:jc w:val="left"/>
        <w:rPr>
          <w:rFonts w:eastAsia="仿宋_GB2312"/>
          <w:kern w:val="0"/>
          <w:sz w:val="32"/>
          <w:szCs w:val="32"/>
        </w:rPr>
      </w:pPr>
      <w:r>
        <w:rPr>
          <w:rFonts w:eastAsia="仿宋_GB2312"/>
          <w:kern w:val="0"/>
          <w:sz w:val="32"/>
          <w:szCs w:val="32"/>
        </w:rPr>
        <w:t>3</w:t>
      </w:r>
      <w:r>
        <w:rPr>
          <w:rFonts w:hint="eastAsia" w:eastAsia="仿宋_GB2312"/>
          <w:kern w:val="0"/>
          <w:sz w:val="32"/>
          <w:szCs w:val="32"/>
        </w:rPr>
        <w:t>.</w:t>
      </w:r>
      <w:r>
        <w:rPr>
          <w:rFonts w:eastAsia="仿宋_GB2312"/>
          <w:kern w:val="0"/>
          <w:sz w:val="32"/>
          <w:szCs w:val="32"/>
        </w:rPr>
        <w:t xml:space="preserve">投标人对于工作期间知悉采购人的商业秘密和党政机关保密信息（包括业务信息在内）或工作过程中接触到的政府机关文件（包括内部发文、各类通知及会议记录等）的内容，同样承担保密责任，严禁将政府机关内部会议、谈话内容泄露给无关人员；不得翻阅与工作无关的文件和资料。 </w:t>
      </w:r>
    </w:p>
    <w:p>
      <w:pPr>
        <w:widowControl/>
        <w:spacing w:line="560" w:lineRule="exact"/>
        <w:ind w:firstLine="646" w:firstLineChars="202"/>
        <w:jc w:val="left"/>
        <w:rPr>
          <w:rFonts w:eastAsia="仿宋_GB2312"/>
          <w:kern w:val="0"/>
          <w:sz w:val="32"/>
          <w:szCs w:val="32"/>
        </w:rPr>
      </w:pPr>
      <w:r>
        <w:rPr>
          <w:rFonts w:eastAsia="仿宋_GB2312"/>
          <w:kern w:val="0"/>
          <w:sz w:val="32"/>
          <w:szCs w:val="32"/>
        </w:rPr>
        <w:t>4</w:t>
      </w:r>
      <w:r>
        <w:rPr>
          <w:rFonts w:hint="eastAsia" w:eastAsia="仿宋_GB2312"/>
          <w:kern w:val="0"/>
          <w:sz w:val="32"/>
          <w:szCs w:val="32"/>
        </w:rPr>
        <w:t>.</w:t>
      </w:r>
      <w:r>
        <w:rPr>
          <w:rFonts w:eastAsia="仿宋_GB2312"/>
          <w:kern w:val="0"/>
          <w:sz w:val="32"/>
          <w:szCs w:val="32"/>
        </w:rPr>
        <w:t>严禁泄露在工作中接触到的政府机关科技研究、发明、装备器材及其技术资料和政府工作信息。</w:t>
      </w:r>
    </w:p>
    <w:p>
      <w:pPr>
        <w:pStyle w:val="5"/>
        <w:widowControl/>
        <w:spacing w:line="560" w:lineRule="exact"/>
        <w:ind w:firstLine="640"/>
        <w:jc w:val="left"/>
        <w:outlineLvl w:val="1"/>
        <w:rPr>
          <w:rFonts w:ascii="黑体" w:hAnsi="黑体" w:eastAsia="黑体"/>
          <w:bCs/>
          <w:sz w:val="32"/>
          <w:szCs w:val="32"/>
        </w:rPr>
      </w:pPr>
      <w:r>
        <w:rPr>
          <w:rFonts w:hint="eastAsia" w:ascii="黑体" w:hAnsi="黑体" w:eastAsia="黑体"/>
          <w:bCs/>
          <w:sz w:val="32"/>
          <w:szCs w:val="32"/>
        </w:rPr>
        <w:t>八、</w:t>
      </w:r>
      <w:r>
        <w:rPr>
          <w:rFonts w:ascii="黑体" w:hAnsi="黑体" w:eastAsia="黑体"/>
          <w:bCs/>
          <w:sz w:val="32"/>
          <w:szCs w:val="32"/>
        </w:rPr>
        <w:t>项目服务地点</w:t>
      </w:r>
    </w:p>
    <w:p>
      <w:pPr>
        <w:widowControl/>
        <w:spacing w:line="560" w:lineRule="exact"/>
        <w:ind w:firstLine="640" w:firstLineChars="200"/>
        <w:jc w:val="left"/>
        <w:rPr>
          <w:rFonts w:eastAsia="仿宋_GB2312"/>
          <w:sz w:val="32"/>
          <w:szCs w:val="32"/>
        </w:rPr>
      </w:pPr>
      <w:r>
        <w:rPr>
          <w:rFonts w:eastAsia="仿宋_GB2312"/>
          <w:sz w:val="32"/>
          <w:szCs w:val="32"/>
        </w:rPr>
        <w:t>广东省工业和信息化厅</w:t>
      </w:r>
    </w:p>
    <w:p>
      <w:pPr>
        <w:pStyle w:val="5"/>
        <w:widowControl/>
        <w:spacing w:line="560" w:lineRule="exact"/>
        <w:ind w:firstLine="640"/>
        <w:jc w:val="left"/>
        <w:outlineLvl w:val="1"/>
        <w:rPr>
          <w:rFonts w:ascii="黑体" w:hAnsi="黑体" w:eastAsia="黑体"/>
          <w:bCs/>
          <w:sz w:val="32"/>
          <w:szCs w:val="32"/>
        </w:rPr>
      </w:pPr>
      <w:bookmarkStart w:id="4" w:name="_Toc41468351"/>
      <w:bookmarkStart w:id="5" w:name="_Toc43200777"/>
      <w:r>
        <w:rPr>
          <w:rFonts w:hint="eastAsia" w:ascii="黑体" w:hAnsi="黑体" w:eastAsia="黑体"/>
          <w:bCs/>
          <w:sz w:val="32"/>
          <w:szCs w:val="32"/>
        </w:rPr>
        <w:t>九、</w:t>
      </w:r>
      <w:r>
        <w:rPr>
          <w:rFonts w:ascii="黑体" w:hAnsi="黑体" w:eastAsia="黑体"/>
          <w:bCs/>
          <w:sz w:val="32"/>
          <w:szCs w:val="32"/>
        </w:rPr>
        <w:t>项目服务期限</w:t>
      </w:r>
      <w:bookmarkEnd w:id="4"/>
      <w:bookmarkEnd w:id="5"/>
    </w:p>
    <w:p>
      <w:pPr>
        <w:spacing w:line="560" w:lineRule="exact"/>
        <w:ind w:left="560"/>
        <w:rPr>
          <w:rFonts w:eastAsia="仿宋_GB2312"/>
          <w:sz w:val="32"/>
          <w:szCs w:val="32"/>
        </w:rPr>
      </w:pPr>
      <w:r>
        <w:rPr>
          <w:rFonts w:eastAsia="仿宋_GB2312"/>
          <w:sz w:val="32"/>
          <w:szCs w:val="32"/>
        </w:rPr>
        <w:t>服务周期为12个月，即自签订合同之日起一年。</w:t>
      </w:r>
    </w:p>
    <w:p>
      <w:pPr>
        <w:pStyle w:val="5"/>
        <w:widowControl/>
        <w:spacing w:line="560" w:lineRule="exact"/>
        <w:ind w:firstLine="640"/>
        <w:jc w:val="left"/>
        <w:outlineLvl w:val="1"/>
        <w:rPr>
          <w:rFonts w:ascii="黑体" w:hAnsi="黑体" w:eastAsia="黑体"/>
          <w:bCs/>
          <w:sz w:val="32"/>
          <w:szCs w:val="32"/>
        </w:rPr>
      </w:pPr>
      <w:r>
        <w:rPr>
          <w:rFonts w:hint="eastAsia" w:ascii="黑体" w:hAnsi="黑体" w:eastAsia="黑体"/>
          <w:bCs/>
          <w:sz w:val="32"/>
          <w:szCs w:val="32"/>
        </w:rPr>
        <w:t>十、</w:t>
      </w:r>
      <w:r>
        <w:rPr>
          <w:rFonts w:ascii="黑体" w:hAnsi="黑体" w:eastAsia="黑体"/>
          <w:bCs/>
          <w:sz w:val="32"/>
          <w:szCs w:val="32"/>
        </w:rPr>
        <w:t>付款方式</w:t>
      </w:r>
    </w:p>
    <w:p>
      <w:pPr>
        <w:spacing w:line="560" w:lineRule="exact"/>
        <w:ind w:firstLine="640" w:firstLineChars="200"/>
        <w:rPr>
          <w:rFonts w:eastAsia="仿宋_GB2312"/>
          <w:sz w:val="32"/>
          <w:szCs w:val="32"/>
        </w:rPr>
      </w:pPr>
      <w:r>
        <w:rPr>
          <w:rFonts w:eastAsia="仿宋_GB2312"/>
          <w:sz w:val="32"/>
          <w:szCs w:val="32"/>
        </w:rPr>
        <w:t>本项目计划分2期支付，具体支付方式和时间如下：</w:t>
      </w:r>
    </w:p>
    <w:p>
      <w:pPr>
        <w:spacing w:line="560" w:lineRule="exact"/>
        <w:ind w:firstLine="640" w:firstLineChars="200"/>
        <w:rPr>
          <w:rFonts w:eastAsia="仿宋_GB2312"/>
          <w:sz w:val="32"/>
          <w:szCs w:val="32"/>
        </w:rPr>
      </w:pPr>
      <w:r>
        <w:rPr>
          <w:rFonts w:eastAsia="仿宋_GB2312"/>
          <w:sz w:val="32"/>
          <w:szCs w:val="32"/>
        </w:rPr>
        <w:t>1.一期款：签订合同后15个工作日内，中标人书面提出支付申请函及拟支付金额等额的符合采购人财务管理要求的相应发票，采购人确认后启动一期款支付流程，一期款支付金额约为合同金额70%。</w:t>
      </w:r>
    </w:p>
    <w:p>
      <w:pPr>
        <w:spacing w:line="560" w:lineRule="exact"/>
        <w:ind w:firstLine="640" w:firstLineChars="200"/>
        <w:rPr>
          <w:rFonts w:eastAsia="仿宋_GB2312"/>
          <w:sz w:val="32"/>
          <w:szCs w:val="32"/>
        </w:rPr>
      </w:pPr>
      <w:r>
        <w:rPr>
          <w:rFonts w:eastAsia="仿宋_GB2312"/>
          <w:sz w:val="32"/>
          <w:szCs w:val="32"/>
        </w:rPr>
        <w:t>2．二期款：中标人提交由银行开具的预付款保函（额度为二期款金额）和相应发票，采购人确认后启动二期款支付流程，二期款支付金额约为合同金额30%。</w:t>
      </w:r>
    </w:p>
    <w:p>
      <w:pPr>
        <w:spacing w:line="560" w:lineRule="exact"/>
        <w:ind w:firstLine="640" w:firstLineChars="200"/>
        <w:rPr>
          <w:rFonts w:eastAsia="仿宋_GB2312"/>
          <w:sz w:val="32"/>
          <w:szCs w:val="32"/>
        </w:rPr>
      </w:pPr>
      <w:r>
        <w:rPr>
          <w:rFonts w:eastAsia="仿宋_GB2312"/>
          <w:sz w:val="32"/>
          <w:szCs w:val="32"/>
        </w:rPr>
        <w:t>项目实际支付总金额按采购成交总金额计算，项目支付计划按合同约定执行，对于满足合同约定支付条件的，采购人应当自收到发票后30日内将资金支付到合同约定的中标人账户，不得以机构变动、人员更替、政策调整等为由延迟付款，不得将采购文件和合同中未规定的义务作为向中标人付款的条件。如因政府财政部门审查、财政支付管理流程及预算下达导致支付延期，支付期限自动顺延，采购人不承担责任，中标人不得以此为由迟延履行或不履行合同义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352340"/>
    <w:rsid w:val="41352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列出段落1"/>
    <w:basedOn w:val="1"/>
    <w:qFormat/>
    <w:uiPriority w:val="0"/>
    <w:pPr>
      <w:ind w:firstLine="420" w:firstLineChars="200"/>
    </w:pPr>
    <w:rPr>
      <w:rFonts w:ascii="Calibri" w:hAnsi="Calibri"/>
      <w:szCs w:val="22"/>
    </w:rPr>
  </w:style>
  <w:style w:type="paragraph" w:customStyle="1" w:styleId="5">
    <w:name w:val="列表段落1"/>
    <w:basedOn w:val="1"/>
    <w:qFormat/>
    <w:uiPriority w:val="0"/>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2021-10-15T07:57:00Z</dcterms:created>
  <dc:creator>林鑫毅</dc:creator>
  <cp:lastModifiedBy>林鑫毅</cp:lastModifiedBy>
  <dcterms:modified xsi:type="dcterms:W3CDTF">2021-10-15T07:57:53Z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ribbonExt">
    <vt:lpwstr>{"WPSExtOfficeTab":{"OnGetEnabled":false,"OnGetVisible":false}}</vt:lpwstr>
  </property>
</Properties>
</file>