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6"/>
          <w:szCs w:val="36"/>
        </w:rPr>
      </w:pPr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sz w:val="28"/>
          <w:szCs w:val="28"/>
        </w:rPr>
        <w:t xml:space="preserve">                         </w:t>
      </w:r>
      <w:r>
        <w:rPr>
          <w:rFonts w:ascii="黑体" w:hAnsi="黑体" w:eastAsia="黑体"/>
          <w:bCs/>
          <w:sz w:val="36"/>
          <w:szCs w:val="36"/>
        </w:rPr>
        <w:t xml:space="preserve"> </w:t>
      </w:r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江门市广悦电化有限公司年产8.1万吨烧碱生产线项目迁建情况</w:t>
      </w:r>
    </w:p>
    <w:tbl>
      <w:tblPr>
        <w:tblStyle w:val="4"/>
        <w:tblpPr w:leftFromText="180" w:rightFromText="180" w:vertAnchor="text" w:horzAnchor="page" w:tblpX="1427" w:tblpY="816"/>
        <w:tblW w:w="141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802"/>
        <w:gridCol w:w="1131"/>
        <w:gridCol w:w="2002"/>
        <w:gridCol w:w="3160"/>
        <w:gridCol w:w="990"/>
        <w:gridCol w:w="2468"/>
        <w:gridCol w:w="1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5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拟建设地点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所属行业</w:t>
            </w: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企业名称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拟建主体设备规格型号及数量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产能（万吨/年）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统一社会信用代码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计划建成投产时间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6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广东省江门市新会区古井镇珠西新材料集聚区115号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化工</w:t>
            </w: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江门市广悦化工股份有限公司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t>烧碱生产线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8.1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91440700MAC66WWF07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2025.7</w:t>
            </w:r>
          </w:p>
        </w:tc>
      </w:tr>
    </w:tbl>
    <w:p>
      <w:pPr>
        <w:spacing w:line="60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一、拟建项目情况</w:t>
      </w:r>
    </w:p>
    <w:p>
      <w:pPr>
        <w:spacing w:line="600" w:lineRule="auto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二、原项目情况</w:t>
      </w:r>
    </w:p>
    <w:tbl>
      <w:tblPr>
        <w:tblStyle w:val="4"/>
        <w:tblW w:w="141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785"/>
        <w:gridCol w:w="1140"/>
        <w:gridCol w:w="2000"/>
        <w:gridCol w:w="3200"/>
        <w:gridCol w:w="1000"/>
        <w:gridCol w:w="2360"/>
        <w:gridCol w:w="2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项目所在地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所属行业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企业名称</w:t>
            </w:r>
          </w:p>
        </w:tc>
        <w:tc>
          <w:tcPr>
            <w:tcW w:w="320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拟迁主体设备规格型号及数量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产能（万吨/年）</w:t>
            </w:r>
          </w:p>
        </w:tc>
        <w:tc>
          <w:tcPr>
            <w:tcW w:w="23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统一社会信用代码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计划停产时间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6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广东省江门市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江海区江海三路7号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化工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江门市广悦电化有限公司</w:t>
            </w:r>
          </w:p>
        </w:tc>
        <w:tc>
          <w:tcPr>
            <w:tcW w:w="32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烧碱（A槽）生产线、NX-BiTACplus 8105、2台</w:t>
            </w:r>
          </w:p>
          <w:p>
            <w:pPr>
              <w:jc w:val="center"/>
              <w:rPr>
                <w:sz w:val="24"/>
              </w:rPr>
            </w:pPr>
            <w:r>
              <w:rPr>
                <w:szCs w:val="21"/>
              </w:rPr>
              <w:t>烧碱（B槽）生产线、N-BiTAC896、2台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8.1</w:t>
            </w:r>
          </w:p>
        </w:tc>
        <w:tc>
          <w:tcPr>
            <w:tcW w:w="23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91440704770995526W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2025.7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Grande">
    <w:altName w:val="微软雅黑"/>
    <w:panose1 w:val="020B0600040502020204"/>
    <w:charset w:val="00"/>
    <w:family w:val="auto"/>
    <w:pitch w:val="default"/>
    <w:sig w:usb0="00000000" w:usb1="00000000" w:usb2="00000000" w:usb3="00000000" w:csb0="00040001" w:csb1="00000000"/>
  </w:font>
  <w:font w:name="ヒラギノ角ゴ Pro W3">
    <w:altName w:val="Times New Roman"/>
    <w:panose1 w:val="02030609000101010101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汉鼎简中黑">
    <w:altName w:val="黑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Batang">
    <w:altName w:val="GulimChe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altName w:val="仿宋_GB2312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dobe 宋体 Std L">
    <w:altName w:val="宋体"/>
    <w:panose1 w:val="02020300000000000000"/>
    <w:charset w:val="00"/>
    <w:family w:val="roman"/>
    <w:pitch w:val="default"/>
    <w:sig w:usb0="00000000" w:usb1="00000000" w:usb2="00000010" w:usb3="00000000" w:csb0="00060007" w:csb1="0000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">
    <w:altName w:val="微软雅黑"/>
    <w:panose1 w:val="00000609000101010101"/>
    <w:charset w:val="00"/>
    <w:family w:val="roman"/>
    <w:pitch w:val="default"/>
    <w:sig w:usb0="00000000" w:usb1="00000000" w:usb2="00000000" w:usb3="00000000" w:csb0="00040001" w:csb1="00000000"/>
  </w:font>
  <w:font w:name="TimesNewRoma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A5FD2"/>
    <w:rsid w:val="140A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2024-01-29T11:50:00Z</dcterms:created>
  <dc:creator>林鑫毅</dc:creator>
  <cp:lastModifiedBy>林鑫毅</cp:lastModifiedBy>
  <dcterms:modified xsi:type="dcterms:W3CDTF">2024-01-29T11:51:12Z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